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64" w:lineRule="auto"/>
        <w:ind w:firstLine="0" w:left="363" w:right="358"/>
        <w:jc w:val="right"/>
        <w:rPr>
          <w:b w:val="1"/>
        </w:rPr>
      </w:pPr>
      <w:r>
        <w:rPr>
          <w:b w:val="1"/>
        </w:rPr>
        <w:t xml:space="preserve">ПРИЛОЖЕНИЕ </w:t>
      </w:r>
      <w:r>
        <w:rPr>
          <w:b w:val="1"/>
        </w:rPr>
        <w:t>4</w:t>
      </w:r>
      <w:r>
        <w:rPr>
          <w:b w:val="1"/>
        </w:rPr>
        <w:t>.</w:t>
      </w:r>
    </w:p>
    <w:p w14:paraId="02000000">
      <w:pPr>
        <w:spacing w:after="0" w:line="456" w:lineRule="auto"/>
        <w:ind w:firstLine="6030" w:left="2076"/>
        <w:jc w:val="left"/>
        <w:rPr>
          <w:b w:val="1"/>
        </w:rPr>
      </w:pPr>
    </w:p>
    <w:p w14:paraId="03000000">
      <w:pPr>
        <w:spacing w:after="0" w:line="456" w:lineRule="auto"/>
        <w:ind w:hanging="942" w:left="2076"/>
        <w:jc w:val="left"/>
      </w:pPr>
      <w:bookmarkStart w:id="1" w:name="_GoBack"/>
      <w:bookmarkEnd w:id="1"/>
    </w:p>
    <w:p w14:paraId="04000000">
      <w:pPr>
        <w:spacing w:after="0" w:line="456" w:lineRule="auto"/>
        <w:ind w:hanging="375" w:left="1367"/>
        <w:jc w:val="left"/>
      </w:pPr>
      <w:r>
        <w:rPr>
          <w:b w:val="1"/>
        </w:rPr>
        <w:t>Организа</w:t>
      </w:r>
      <w:r>
        <w:rPr>
          <w:b w:val="1"/>
        </w:rPr>
        <w:t xml:space="preserve">ция работы с агрессивными детьми </w:t>
      </w:r>
    </w:p>
    <w:p w14:paraId="05000000">
      <w:pPr>
        <w:spacing w:after="196" w:line="264" w:lineRule="auto"/>
        <w:ind w:right="3"/>
        <w:jc w:val="center"/>
      </w:pPr>
      <w:r>
        <w:rPr>
          <w:b w:val="1"/>
          <w:i w:val="1"/>
        </w:rPr>
        <w:t>Идеи ненасильственного</w:t>
      </w:r>
      <w:r>
        <w:rPr>
          <w:b w:val="1"/>
        </w:rPr>
        <w:t xml:space="preserve"> </w:t>
      </w:r>
      <w:r>
        <w:rPr>
          <w:b w:val="1"/>
          <w:i w:val="1"/>
        </w:rPr>
        <w:t xml:space="preserve">обучения и воспитания </w:t>
      </w:r>
      <w:r>
        <w:rPr>
          <w:b w:val="1"/>
        </w:rPr>
        <w:t xml:space="preserve">(по Г. </w:t>
      </w:r>
      <w:r>
        <w:rPr>
          <w:b w:val="1"/>
        </w:rPr>
        <w:t>Фигдору</w:t>
      </w:r>
      <w:r>
        <w:rPr>
          <w:b w:val="1"/>
        </w:rPr>
        <w:t xml:space="preserve">) </w:t>
      </w:r>
    </w:p>
    <w:p w14:paraId="06000000">
      <w:pPr>
        <w:numPr>
          <w:ilvl w:val="0"/>
          <w:numId w:val="1"/>
        </w:numPr>
      </w:pPr>
      <w:r>
        <w:t xml:space="preserve">Нарушения дисциплины, агрессивность, и т.д. – это важнейшие проявления, свидетельствующие о том, что ребенок не подчиняется (принудительной) системе школьных занятий. </w:t>
      </w:r>
    </w:p>
    <w:p w14:paraId="07000000">
      <w:pPr>
        <w:numPr>
          <w:ilvl w:val="0"/>
          <w:numId w:val="1"/>
        </w:numPr>
      </w:pPr>
      <w:r>
        <w:t xml:space="preserve">Необходимо постоянно заинтересовывать школьников учебным материалом, давать им возможность проявлять спонтанность и самостоятельность, а также приобретать навыки эффективного общения и кооперирования. </w:t>
      </w:r>
    </w:p>
    <w:p w14:paraId="08000000">
      <w:pPr>
        <w:numPr>
          <w:ilvl w:val="0"/>
          <w:numId w:val="1"/>
        </w:numPr>
      </w:pPr>
      <w:r>
        <w:t xml:space="preserve">Не требовать работы от учеников, а работать вместе с ними. Дать учащимся возможность перенять рабочую позицию путем идентификации себя с (любимым) учителем, а не путем исполнения (абстрактных) требований «сверх </w:t>
      </w:r>
    </w:p>
    <w:p w14:paraId="09000000">
      <w:pPr>
        <w:spacing w:after="0" w:line="264" w:lineRule="auto"/>
        <w:ind w:firstLine="0" w:left="0" w:right="200"/>
        <w:jc w:val="center"/>
      </w:pPr>
      <w:r>
        <w:t xml:space="preserve">– Я», проявляющихся в процессе педагогического манипулирования. </w:t>
      </w:r>
    </w:p>
    <w:p w14:paraId="0A000000">
      <w:pPr>
        <w:spacing w:after="260" w:line="264" w:lineRule="auto"/>
        <w:ind w:firstLine="0" w:left="363" w:right="359"/>
        <w:jc w:val="center"/>
      </w:pPr>
      <w:r>
        <w:rPr>
          <w:b w:val="1"/>
        </w:rPr>
        <w:t xml:space="preserve">Психологические аспекты профилактики </w:t>
      </w:r>
      <w:r>
        <w:rPr>
          <w:b w:val="1"/>
        </w:rPr>
        <w:t>буллинга</w:t>
      </w:r>
      <w:r>
        <w:t xml:space="preserve"> </w:t>
      </w:r>
    </w:p>
    <w:p w14:paraId="0B000000">
      <w:r>
        <w:rPr>
          <w:b w:val="1"/>
        </w:rPr>
        <w:t>Первый шаг</w:t>
      </w:r>
      <w:r>
        <w:t xml:space="preserve"> – достижение гармонизации эмоциональной сферы подростков через организацию различных мероприятий и психологических акций: </w:t>
      </w:r>
    </w:p>
    <w:p w14:paraId="0C000000">
      <w:pPr>
        <w:numPr>
          <w:ilvl w:val="0"/>
          <w:numId w:val="2"/>
        </w:numPr>
      </w:pPr>
      <w:r>
        <w:t xml:space="preserve">Общешкольные мероприятия типа «Минута славы», «Фабрика звезд» и пр. </w:t>
      </w:r>
    </w:p>
    <w:p w14:paraId="0D000000">
      <w:pPr>
        <w:numPr>
          <w:ilvl w:val="0"/>
          <w:numId w:val="2"/>
        </w:numPr>
      </w:pPr>
      <w:r>
        <w:t xml:space="preserve">«Доска знакомства» или «Наши открытия».  </w:t>
      </w:r>
    </w:p>
    <w:p w14:paraId="0E000000">
      <w:pPr>
        <w:numPr>
          <w:ilvl w:val="0"/>
          <w:numId w:val="2"/>
        </w:numPr>
      </w:pPr>
      <w:r>
        <w:t xml:space="preserve">«День звезды», «День имени». </w:t>
      </w:r>
    </w:p>
    <w:p w14:paraId="0F000000">
      <w:pPr>
        <w:numPr>
          <w:ilvl w:val="0"/>
          <w:numId w:val="2"/>
        </w:numPr>
      </w:pPr>
      <w:r>
        <w:t xml:space="preserve">Организация «Выставки достижений». </w:t>
      </w:r>
    </w:p>
    <w:p w14:paraId="10000000">
      <w:pPr>
        <w:numPr>
          <w:ilvl w:val="0"/>
          <w:numId w:val="2"/>
        </w:numPr>
        <w:spacing w:after="253"/>
        <w:ind/>
      </w:pPr>
      <w:r>
        <w:t xml:space="preserve">Организация игр, которые способствуют переживанию негативных эмоций и их </w:t>
      </w:r>
      <w:r>
        <w:t>отреагированию</w:t>
      </w:r>
      <w:r>
        <w:t xml:space="preserve">. </w:t>
      </w:r>
    </w:p>
    <w:p w14:paraId="11000000">
      <w:r>
        <w:rPr>
          <w:b w:val="1"/>
        </w:rPr>
        <w:t xml:space="preserve">Второй шаг — </w:t>
      </w:r>
      <w:r>
        <w:t xml:space="preserve">реабилитация «Я». </w:t>
      </w:r>
    </w:p>
    <w:p w14:paraId="12000000">
      <w:pPr>
        <w:spacing w:after="0" w:line="264" w:lineRule="auto"/>
        <w:ind w:firstLine="0" w:left="-5"/>
        <w:jc w:val="left"/>
      </w:pPr>
      <w:r>
        <w:rPr>
          <w:b w:val="1"/>
          <w:i w:val="1"/>
        </w:rPr>
        <w:t xml:space="preserve">Мероприятия: </w:t>
      </w:r>
    </w:p>
    <w:p w14:paraId="13000000">
      <w:pPr>
        <w:ind w:hanging="360" w:left="1003"/>
      </w:pPr>
      <w:r>
        <w:drawing>
          <wp:inline>
            <wp:extent cx="164592" cy="21793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64592" cy="21793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>
        <w:t xml:space="preserve">Организация клубов или студий, в работе которых будут участвовать разные дети. </w:t>
      </w:r>
    </w:p>
    <w:p w14:paraId="14000000">
      <w:pPr>
        <w:spacing w:after="39"/>
        <w:ind w:firstLine="0" w:left="783"/>
      </w:pPr>
      <w:r>
        <w:rPr>
          <w:rFonts w:ascii="Calibri" w:hAnsi="Calibri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408380</wp:posOffset>
            </wp:positionH>
            <wp:positionV relativeFrom="paragraph">
              <wp:posOffset>-54323</wp:posOffset>
            </wp:positionV>
            <wp:extent cx="164592" cy="435864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164592" cy="43586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 </w:t>
      </w:r>
      <w:r>
        <w:t xml:space="preserve">Проведение больших психологических  игр. </w:t>
      </w:r>
    </w:p>
    <w:p w14:paraId="15000000">
      <w:pPr>
        <w:spacing w:after="256"/>
        <w:ind w:firstLine="0" w:left="783"/>
      </w:pPr>
      <w:r>
        <w:rPr>
          <w:rFonts w:ascii="Arial" w:hAnsi="Arial"/>
        </w:rPr>
        <w:t xml:space="preserve"> </w:t>
      </w:r>
      <w:r>
        <w:t>Индивидуальные коррекционные занятия.</w:t>
      </w:r>
      <w:r>
        <w:rPr>
          <w:b w:val="1"/>
        </w:rPr>
        <w:t xml:space="preserve"> </w:t>
      </w:r>
      <w:r>
        <w:t xml:space="preserve"> </w:t>
      </w:r>
    </w:p>
    <w:p w14:paraId="16000000">
      <w:r>
        <w:rPr>
          <w:b w:val="1"/>
        </w:rPr>
        <w:t xml:space="preserve">Третий шаг — </w:t>
      </w:r>
      <w:r>
        <w:t>переориентация поведения</w:t>
      </w:r>
      <w:r>
        <w:rPr>
          <w:b w:val="1"/>
        </w:rPr>
        <w:t xml:space="preserve"> </w:t>
      </w:r>
      <w:r>
        <w:t xml:space="preserve">участников </w:t>
      </w:r>
      <w:r>
        <w:t>буллинга</w:t>
      </w:r>
      <w:r>
        <w:rPr>
          <w:b w:val="1"/>
        </w:rPr>
        <w:t xml:space="preserve"> </w:t>
      </w:r>
      <w:r>
        <w:t>через различные программы и тренинги, целью которых является модификация поведения.</w:t>
      </w:r>
    </w:p>
    <w:p w14:paraId="17000000">
      <w:pPr>
        <w:spacing w:after="18" w:line="264" w:lineRule="auto"/>
        <w:ind w:firstLine="0" w:left="363" w:right="362"/>
        <w:jc w:val="center"/>
      </w:pPr>
      <w:r>
        <w:rPr>
          <w:b w:val="1"/>
        </w:rPr>
        <w:t xml:space="preserve">Как работать с агрессивными детьми: </w:t>
      </w:r>
    </w:p>
    <w:p w14:paraId="18000000">
      <w:pPr>
        <w:keepNext w:val="1"/>
        <w:keepLines w:val="1"/>
        <w:spacing w:after="265" w:line="264" w:lineRule="auto"/>
        <w:ind w:firstLine="0" w:left="289" w:right="283"/>
        <w:jc w:val="center"/>
        <w:outlineLvl w:val="0"/>
        <w:rPr>
          <w:i w:val="1"/>
        </w:rPr>
      </w:pPr>
      <w:r>
        <w:rPr>
          <w:i w:val="1"/>
        </w:rPr>
        <w:t xml:space="preserve">(рекомендации для родителей и педагогов) </w:t>
      </w:r>
    </w:p>
    <w:p w14:paraId="19000000">
      <w:r>
        <w:t xml:space="preserve">В зависимости от выявленных причин агрессии в работе с детьми взрослым необходимо делать несколько акцентов: </w:t>
      </w:r>
    </w:p>
    <w:p w14:paraId="1A000000">
      <w:pPr>
        <w:numPr>
          <w:ilvl w:val="0"/>
          <w:numId w:val="3"/>
        </w:numPr>
      </w:pPr>
      <w:r>
        <w:t xml:space="preserve">Изменить негативную установку по отношению к ребенку на позитивную. </w:t>
      </w:r>
    </w:p>
    <w:p w14:paraId="1B000000">
      <w:pPr>
        <w:numPr>
          <w:ilvl w:val="0"/>
          <w:numId w:val="3"/>
        </w:numPr>
      </w:pPr>
      <w:r>
        <w:t xml:space="preserve">Изменить стиль взаимодействия с детьми. </w:t>
      </w:r>
    </w:p>
    <w:p w14:paraId="1C000000">
      <w:pPr>
        <w:numPr>
          <w:ilvl w:val="0"/>
          <w:numId w:val="3"/>
        </w:numPr>
        <w:spacing w:after="201"/>
        <w:ind/>
      </w:pPr>
      <w:r>
        <w:t xml:space="preserve">Расширить у родителей и педагогов методы их коммуникативных умений. </w:t>
      </w:r>
    </w:p>
    <w:p w14:paraId="1D000000">
      <w:pPr>
        <w:spacing w:after="275" w:line="264" w:lineRule="auto"/>
        <w:ind w:firstLine="0" w:left="720"/>
        <w:jc w:val="left"/>
      </w:pPr>
      <w:r>
        <w:t xml:space="preserve"> </w:t>
      </w:r>
    </w:p>
    <w:p w14:paraId="1E000000">
      <w:pPr>
        <w:spacing w:after="260" w:line="264" w:lineRule="auto"/>
        <w:ind w:firstLine="0" w:left="363" w:right="361"/>
        <w:jc w:val="center"/>
      </w:pPr>
      <w:r>
        <w:rPr>
          <w:b w:val="1"/>
        </w:rPr>
        <w:t xml:space="preserve">Направления коррекционной работы с агрессивными детьми </w:t>
      </w:r>
    </w:p>
    <w:p w14:paraId="1F000000">
      <w:pPr>
        <w:numPr>
          <w:ilvl w:val="0"/>
          <w:numId w:val="4"/>
        </w:numPr>
      </w:pPr>
      <w:r>
        <w:t xml:space="preserve">Если агрессия является осознанной со стороны ребенка, то для взрослого (учителя, психолога, родителя) важно не поддаться на эту манипуляцию.  </w:t>
      </w:r>
    </w:p>
    <w:p w14:paraId="20000000">
      <w:pPr>
        <w:numPr>
          <w:ilvl w:val="0"/>
          <w:numId w:val="4"/>
        </w:numPr>
      </w:pPr>
      <w:r>
        <w:t xml:space="preserve">Если агрессия является </w:t>
      </w:r>
      <w:r>
        <w:rPr>
          <w:i w:val="1"/>
        </w:rPr>
        <w:t xml:space="preserve">выражением гнева, </w:t>
      </w:r>
      <w:r>
        <w:t xml:space="preserve">возможно применение разнообразных стратегий воздействия: </w:t>
      </w:r>
    </w:p>
    <w:p w14:paraId="21000000">
      <w:pPr>
        <w:numPr>
          <w:ilvl w:val="1"/>
          <w:numId w:val="4"/>
        </w:numPr>
      </w:pPr>
      <w:r>
        <w:t xml:space="preserve">Обучить ребенка контролю своих эмоций и различным способам их выражения без вреда для окружающих людей. </w:t>
      </w:r>
    </w:p>
    <w:p w14:paraId="22000000">
      <w:pPr>
        <w:numPr>
          <w:ilvl w:val="1"/>
          <w:numId w:val="4"/>
        </w:numPr>
      </w:pPr>
      <w:r>
        <w:t xml:space="preserve">Обучить ребенка умению проявлять свои эмоции через беседу и приглашение к сотрудничеству. </w:t>
      </w:r>
    </w:p>
    <w:p w14:paraId="23000000">
      <w:pPr>
        <w:numPr>
          <w:ilvl w:val="1"/>
          <w:numId w:val="4"/>
        </w:numPr>
        <w:spacing w:after="203"/>
        <w:ind/>
      </w:pPr>
      <w:r>
        <w:t xml:space="preserve">Формировать у ребенка такие качества, как </w:t>
      </w:r>
      <w:r>
        <w:t>эмпатия</w:t>
      </w:r>
      <w:r>
        <w:t xml:space="preserve">, доверие к людям. </w:t>
      </w:r>
    </w:p>
    <w:p w14:paraId="24000000">
      <w:pPr>
        <w:spacing w:after="109" w:line="264" w:lineRule="auto"/>
        <w:ind w:firstLine="0" w:left="363" w:right="360"/>
        <w:jc w:val="center"/>
      </w:pPr>
      <w:r>
        <w:rPr>
          <w:b w:val="1"/>
        </w:rPr>
        <w:t xml:space="preserve">Социально-педагогическая деятельность с агрессивными детьми </w:t>
      </w:r>
    </w:p>
    <w:p w14:paraId="25000000">
      <w:pPr>
        <w:spacing w:after="251"/>
        <w:ind/>
      </w:pPr>
      <w:r>
        <w:t xml:space="preserve">    Такая деятельность</w:t>
      </w:r>
      <w:r>
        <w:rPr>
          <w:b w:val="1"/>
        </w:rPr>
        <w:t xml:space="preserve"> </w:t>
      </w:r>
      <w:r>
        <w:t>будет наиболее эффективна в том случае, если она осуществляется</w:t>
      </w:r>
      <w:r>
        <w:t xml:space="preserve"> </w:t>
      </w:r>
      <w:r>
        <w:t xml:space="preserve">на основании методик ослабления детской агрессивности. </w:t>
      </w:r>
      <w:r>
        <w:rPr>
          <w:b w:val="1"/>
          <w:i w:val="1"/>
        </w:rPr>
        <w:t>Формы работы с агрессивными детьми</w:t>
      </w:r>
      <w:r>
        <w:t xml:space="preserve">: </w:t>
      </w:r>
    </w:p>
    <w:p w14:paraId="26000000">
      <w:pPr>
        <w:ind w:firstLine="698" w:left="0"/>
      </w:pPr>
      <w:r>
        <w:t xml:space="preserve">Переключить внимание и активность детей в созидательное русло. </w:t>
      </w:r>
    </w:p>
    <w:p w14:paraId="27000000">
      <w:r>
        <w:t xml:space="preserve">Проводить профилактические беседы, направленные на обучение детей мирному разрешению конфликтов, с упоминанием законодательных и правовых актов. Проводить с детьми ролевые игры, которые воспроизводят реальные ситуации с целью обучения детей социально приемлемому поведению в различных обстоятельствах. </w:t>
      </w:r>
    </w:p>
    <w:p w14:paraId="28000000">
      <w:pPr>
        <w:ind w:firstLine="698" w:left="0"/>
      </w:pPr>
      <w:r>
        <w:t xml:space="preserve">Давать детям поручения, которые помогают приучить их чуткому и внимательному отношению друг к другу и к окружающим их людям (например, написание поздравлений, участие в благотворительных акциях и др.). </w:t>
      </w:r>
    </w:p>
    <w:p w14:paraId="29000000">
      <w:pPr>
        <w:ind w:firstLine="698" w:left="0"/>
      </w:pPr>
      <w:r>
        <w:t xml:space="preserve">Проводить с детьми упражнения на выполнение действий по образцу, на соблюдение правил, осуществление изобразительной и физической деятельности. </w:t>
      </w:r>
    </w:p>
    <w:p w14:paraId="2A000000">
      <w:pPr>
        <w:ind w:firstLine="698" w:left="0"/>
      </w:pPr>
      <w:r>
        <w:t xml:space="preserve">Проводить с детьми тренинги психологического характера (например, глубоко вдохнуть, сосчитать до 10, представить себе последствия своего поступка и т.д.) и применять их в случаях стресса.  </w:t>
      </w:r>
    </w:p>
    <w:p w14:paraId="2B000000">
      <w:pPr>
        <w:ind w:firstLine="698" w:left="0"/>
      </w:pPr>
      <w:r>
        <w:t xml:space="preserve">Обучить детей методам   закаливания организма (например, умывание холодной водой, воздушные процедуры и др.) – для укрепления нервной системы.  Проводить с детьми тренировки воли (например, брать с них обещание не вступать в конфликты и не обижать других и взрослым необходимо следить каждый день за выполнением данного обещания и т.д.).  </w:t>
      </w:r>
    </w:p>
    <w:p w14:paraId="2C000000">
      <w:r>
        <w:t xml:space="preserve">Обучать детей проведению самоотчетов (например, подводить итоги прошедшего дня, осуществлять анализ своего поведения и поступков и т.д.). </w:t>
      </w:r>
    </w:p>
    <w:p w14:paraId="2D000000">
      <w:pPr>
        <w:spacing w:after="32" w:line="264" w:lineRule="auto"/>
        <w:ind w:right="9"/>
        <w:jc w:val="center"/>
      </w:pPr>
      <w:r>
        <w:rPr>
          <w:b w:val="1"/>
          <w:i w:val="1"/>
        </w:rPr>
        <w:t xml:space="preserve">Как правильно вести себя с детьми, </w:t>
      </w:r>
    </w:p>
    <w:p w14:paraId="2E000000">
      <w:pPr>
        <w:spacing w:after="17" w:line="264" w:lineRule="auto"/>
        <w:ind w:firstLine="0" w:left="860"/>
        <w:jc w:val="left"/>
      </w:pPr>
      <w:r>
        <w:rPr>
          <w:b w:val="1"/>
          <w:i w:val="1"/>
        </w:rPr>
        <w:t xml:space="preserve">проявляющими агрессию в отношении взрослых или сверстников </w:t>
      </w:r>
    </w:p>
    <w:p w14:paraId="2F000000">
      <w:pPr>
        <w:spacing w:line="468" w:lineRule="auto"/>
        <w:ind w:firstLine="1190" w:left="490" w:right="422"/>
      </w:pPr>
      <w:r>
        <w:rPr>
          <w:rFonts w:ascii="Calibri" w:hAnsi="Calibri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228600</wp:posOffset>
            </wp:positionH>
            <wp:positionV relativeFrom="paragraph">
              <wp:posOffset>314143</wp:posOffset>
            </wp:positionV>
            <wp:extent cx="164592" cy="43434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164592" cy="4343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 w:val="1"/>
        </w:rPr>
        <w:t>(Практические рекомендации родителям и педагогам)</w:t>
      </w:r>
      <w:r>
        <w:rPr>
          <w:b w:val="1"/>
          <w:i w:val="1"/>
        </w:rPr>
        <w:t xml:space="preserve"> </w:t>
      </w:r>
      <w:r>
        <w:t xml:space="preserve">Спокойно относиться в случае незначительной агрессии. </w:t>
      </w:r>
    </w:p>
    <w:p w14:paraId="30000000">
      <w:pPr>
        <w:ind w:hanging="230" w:left="720"/>
      </w:pPr>
      <w:r>
        <w:rPr>
          <w:rFonts w:ascii="Arial" w:hAnsi="Arial"/>
        </w:rPr>
        <w:t xml:space="preserve"> </w:t>
      </w:r>
      <w:r>
        <w:t xml:space="preserve">При разборе поведения агрессивного ребенка акцентировать внимание на их поступки, а не на личности, </w:t>
      </w:r>
      <w:r>
        <w:t>т.е</w:t>
      </w:r>
      <w:r>
        <w:t xml:space="preserve"> говорить о «плохом» поведении, а не о плохом ученике. </w:t>
      </w:r>
    </w:p>
    <w:p w14:paraId="31000000">
      <w:pPr>
        <w:numPr>
          <w:ilvl w:val="0"/>
          <w:numId w:val="5"/>
        </w:numPr>
      </w:pPr>
      <w:r>
        <w:t>Взрослым необходимо контролировать собственные негативные эмоция и обучать этому детей. Любое проявление агрессии со стороны ребенка обсуждать, а не оставлять проступок без внимания, но при этом: не обвинять, не стыдить и не позорить, избегать чтения морали и лекций о поведении.</w:t>
      </w:r>
      <w:r>
        <w:rPr>
          <w:rFonts w:ascii="Wingdings" w:hAnsi="Wingdings"/>
        </w:rPr>
        <w:t></w:t>
      </w:r>
    </w:p>
    <w:p w14:paraId="32000000">
      <w:pPr>
        <w:numPr>
          <w:ilvl w:val="0"/>
          <w:numId w:val="5"/>
        </w:numPr>
      </w:pPr>
      <w:r>
        <w:t xml:space="preserve">Прикладывать усилия к сохранению положительной репутации ребенка - </w:t>
      </w:r>
      <w:r>
        <w:t>буллера</w:t>
      </w:r>
      <w:r>
        <w:t xml:space="preserve">.  </w:t>
      </w:r>
      <w:r>
        <w:rPr>
          <w:rFonts w:ascii="Arial" w:hAnsi="Arial"/>
        </w:rPr>
        <w:t xml:space="preserve"> </w:t>
      </w:r>
    </w:p>
    <w:p w14:paraId="33000000">
      <w:pPr>
        <w:numPr>
          <w:ilvl w:val="0"/>
          <w:numId w:val="5"/>
        </w:numPr>
      </w:pPr>
      <w:r>
        <w:t xml:space="preserve">Взрослым необходимо демонстрировать детям модели неагрессивного поведения.  </w:t>
      </w:r>
    </w:p>
    <w:p w14:paraId="34000000">
      <w:pPr>
        <w:numPr>
          <w:ilvl w:val="0"/>
          <w:numId w:val="5"/>
        </w:numPr>
      </w:pPr>
      <w:r>
        <w:t xml:space="preserve">Педагогам необходимо способствовать снижению напряжения ситуации в классном   коллективе. </w:t>
      </w:r>
    </w:p>
    <w:p w14:paraId="35000000">
      <w:pPr>
        <w:numPr>
          <w:ilvl w:val="0"/>
          <w:numId w:val="5"/>
        </w:numPr>
      </w:pPr>
      <w:r>
        <w:t xml:space="preserve">Педагогам и родителям необходимо проводить работу для восстановления примирения. </w:t>
      </w:r>
    </w:p>
    <w:p w14:paraId="36000000">
      <w:pPr>
        <w:spacing w:after="0" w:line="276" w:lineRule="auto"/>
        <w:ind w:hanging="4484" w:left="4587"/>
        <w:jc w:val="left"/>
      </w:pPr>
      <w:r>
        <w:rPr>
          <w:b w:val="1"/>
        </w:rPr>
        <w:t xml:space="preserve">Меры по формированию ненасильственной среды образовательного учреждения </w:t>
      </w:r>
    </w:p>
    <w:p w14:paraId="37000000">
      <w:pPr>
        <w:numPr>
          <w:ilvl w:val="0"/>
          <w:numId w:val="5"/>
        </w:numPr>
      </w:pPr>
      <w:r>
        <w:t xml:space="preserve">С помощью психологов педагогам применять различные виды педагогической деятельности для формирования ненасильственной среды образовательной деятельности.  </w:t>
      </w:r>
    </w:p>
    <w:p w14:paraId="38000000">
      <w:pPr>
        <w:numPr>
          <w:ilvl w:val="0"/>
          <w:numId w:val="5"/>
        </w:numPr>
      </w:pPr>
      <w:r>
        <w:t xml:space="preserve">Вводить принципы «педагогики сотрудничества» и «педагогической поддержки» в школе.  </w:t>
      </w:r>
    </w:p>
    <w:p w14:paraId="39000000">
      <w:pPr>
        <w:numPr>
          <w:ilvl w:val="0"/>
          <w:numId w:val="5"/>
        </w:numPr>
      </w:pPr>
      <w:r>
        <w:t xml:space="preserve">Проводить расширенные педсоветы с педагогами, круглые столы среди психологов для обмена опытом по формированию ненасильственной среды среди учащихся.  </w:t>
      </w:r>
    </w:p>
    <w:p w14:paraId="3A000000">
      <w:pPr>
        <w:numPr>
          <w:ilvl w:val="0"/>
          <w:numId w:val="5"/>
        </w:numPr>
      </w:pPr>
      <w:r>
        <w:t xml:space="preserve">Психологам рекомендуется обучать педагогов и учащихся созданию психологического климата взаимного уважения и доверия в педагогическом коллективе. </w:t>
      </w:r>
    </w:p>
    <w:p w14:paraId="3B000000">
      <w:pPr>
        <w:numPr>
          <w:ilvl w:val="0"/>
          <w:numId w:val="5"/>
        </w:numPr>
      </w:pPr>
      <w:r>
        <w:t xml:space="preserve">Психологам рекомендуется проводить семинары по проблеме профилактики насилия над несовершеннолетними для учителей всех категорий в системе повышения квалификации  </w:t>
      </w:r>
    </w:p>
    <w:p w14:paraId="3C000000">
      <w:pPr>
        <w:numPr>
          <w:ilvl w:val="0"/>
          <w:numId w:val="5"/>
        </w:numPr>
      </w:pPr>
      <w:r>
        <w:t xml:space="preserve">Организовать самообразование и овладение педагогами навыками организации ненасильственного обучения и воспитания в школьном коллективе. </w:t>
      </w:r>
    </w:p>
    <w:p w14:paraId="3D000000">
      <w:pPr>
        <w:numPr>
          <w:ilvl w:val="0"/>
          <w:numId w:val="5"/>
        </w:numPr>
      </w:pPr>
      <w:r>
        <w:t xml:space="preserve">Администрации учебного заведения организовать серию педагогических и методических советов по проблеме насилия в школе.  </w:t>
      </w:r>
    </w:p>
    <w:p w14:paraId="3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numPicBullet w:numPicBulletId="1">
    <w:pict>
      <v:shapetype coordsize="21600,21600" filled="f" id="_x0000_t75" o:preferrelative="t" o:spt="75" path="m@4@5l@4@11@9@11@9@5xe" stroked="f">
        <v:path gradientshapeok="t" o:connecttype="rect" o:extrusionok="f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stroke joinstyle="miter"/>
        <o:lock aspectratio="t" v:ext="edit"/>
      </v:shapetype>
      <v:shape style="width:81pt;height:107pt" type="#_x0000_t75">
        <v:imagedata o:title="Title" r:id="rId1"/>
      </v:shape>
    </w:pict>
  </w:numPicBullet>
  <w:numPicBullet w:numPicBulletId="2">
    <w:pict>
      <v:shape style="width:81pt;height:107pt" type="#_x0000_t75">
        <v:imagedata o:title="Title" r:id="rId1"/>
      </v:shape>
    </w:pict>
  </w:numPicBullet>
  <w:abstractNum w:abstractNumId="0">
    <w:lvl w:ilvl="0">
      <w:start w:val="1"/>
      <w:numFmt w:val="bullet"/>
      <w:lvlText w:val="•"/>
      <w:lvlPicBulletId w:val="1"/>
      <w:lvlJc w:val="left"/>
      <w:pPr>
        <w:ind w:firstLine="0" w:left="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</w:abstractNum>
  <w:abstractNum w:abstractNumId="1">
    <w:lvl w:ilvl="0">
      <w:start w:val="1"/>
      <w:numFmt w:val="bullet"/>
      <w:lvlText w:val=""/>
      <w:lvlJc w:val="left"/>
      <w:pPr>
        <w:ind w:firstLine="0" w:left="72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44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16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88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60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32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04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76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48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</w:abstractNum>
  <w:abstractNum w:abstractNumId="2">
    <w:lvl w:ilvl="0">
      <w:start w:val="1"/>
      <w:numFmt w:val="bullet"/>
      <w:lvlText w:val=""/>
      <w:lvlJc w:val="left"/>
      <w:pPr>
        <w:ind w:firstLine="0" w:left="72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44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16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88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60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32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04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76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48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</w:abstractNum>
  <w:abstractNum w:abstractNumId="3">
    <w:lvl w:ilvl="0">
      <w:start w:val="1"/>
      <w:numFmt w:val="decimal"/>
      <w:lvlText w:val="%1."/>
      <w:lvlJc w:val="left"/>
      <w:pPr>
        <w:ind w:firstLine="0" w:left="283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"/>
      <w:lvlJc w:val="left"/>
      <w:pPr>
        <w:ind w:firstLine="0" w:left="72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144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16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288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360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32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04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576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</w:abstractNum>
  <w:abstractNum w:abstractNumId="4">
    <w:lvl w:ilvl="0">
      <w:start w:val="1"/>
      <w:numFmt w:val="bullet"/>
      <w:lvlText w:val="•"/>
      <w:lvlPicBulletId w:val="2"/>
      <w:lvlJc w:val="left"/>
      <w:pPr>
        <w:ind w:firstLine="0" w:left="567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394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114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834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554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274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994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714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434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4" w:line="264" w:lineRule="auto"/>
      <w:ind w:hanging="10" w:left="10"/>
      <w:jc w:val="both"/>
    </w:pPr>
    <w:rPr>
      <w:rFonts w:ascii="Times New Roman" w:hAnsi="Times New Roman"/>
      <w:color w:val="00000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_rels/numbering.xml.rels><?xml version="1.0" encoding="UTF-8" standalone="no" ?>
<Relationships xmlns="http://schemas.openxmlformats.org/package/2006/relationships">
  <Relationship Id="rId1" Target="media/2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2024-11-02T09:55:47Z</dcterms:modified>
</cp:coreProperties>
</file>